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BAF5" w14:textId="7E71728A" w:rsidR="005773FA" w:rsidRPr="00ED03FC" w:rsidRDefault="000317C1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  <w:lang w:val="de-DE"/>
        </w:rPr>
        <w:t>Železniki</w:t>
      </w:r>
      <w:proofErr w:type="spellEnd"/>
      <w:r>
        <w:rPr>
          <w:rFonts w:ascii="Tahoma" w:hAnsi="Tahoma" w:cs="Tahoma"/>
          <w:sz w:val="20"/>
          <w:lang w:val="de-DE"/>
        </w:rPr>
        <w:t xml:space="preserve">, </w:t>
      </w:r>
      <w:r w:rsidRPr="000317C1">
        <w:rPr>
          <w:rFonts w:ascii="Tahoma" w:hAnsi="Tahoma" w:cs="Tahoma"/>
          <w:sz w:val="20"/>
          <w:highlight w:val="yellow"/>
          <w:lang w:val="de-DE"/>
        </w:rPr>
        <w:t>21</w:t>
      </w:r>
      <w:r w:rsidRPr="000317C1">
        <w:rPr>
          <w:rFonts w:ascii="Tahoma" w:hAnsi="Tahoma" w:cs="Tahoma"/>
          <w:sz w:val="20"/>
          <w:highlight w:val="yellow"/>
          <w:lang w:val="de-DE"/>
        </w:rPr>
        <w:t>.2</w:t>
      </w:r>
      <w:r w:rsidRPr="000317C1">
        <w:rPr>
          <w:rFonts w:ascii="Tahoma" w:hAnsi="Tahoma" w:cs="Tahoma"/>
          <w:sz w:val="20"/>
          <w:highlight w:val="yellow"/>
          <w:lang w:val="de-DE"/>
        </w:rPr>
        <w:t>.</w:t>
      </w:r>
      <w:r w:rsidRPr="000317C1">
        <w:rPr>
          <w:rFonts w:ascii="Tahoma" w:hAnsi="Tahoma" w:cs="Tahoma"/>
          <w:sz w:val="20"/>
          <w:highlight w:val="yellow"/>
          <w:lang w:val="de-DE"/>
        </w:rPr>
        <w:t>2022</w:t>
      </w:r>
    </w:p>
    <w:p w14:paraId="64254874" w14:textId="77777777" w:rsidR="005773FA" w:rsidRPr="00ED03FC" w:rsidRDefault="005773FA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Cs w:val="24"/>
        </w:rPr>
      </w:pPr>
    </w:p>
    <w:p w14:paraId="05598939" w14:textId="77777777" w:rsidR="005113E3" w:rsidRDefault="000317C1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bCs/>
          <w:szCs w:val="24"/>
          <w:lang w:val="de-DE"/>
        </w:rPr>
        <w:t>INFORMATIONEN ZU UNBERECHTIGTEN REKLAMATIONEN</w:t>
      </w:r>
    </w:p>
    <w:p w14:paraId="56F20594" w14:textId="77777777" w:rsidR="005113E3" w:rsidRDefault="005113E3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Cs w:val="24"/>
        </w:rPr>
      </w:pPr>
    </w:p>
    <w:p w14:paraId="1DCCEF9C" w14:textId="77777777" w:rsidR="00FB6350" w:rsidRPr="00ED03FC" w:rsidRDefault="000317C1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bCs/>
          <w:szCs w:val="24"/>
          <w:lang w:val="de-DE"/>
        </w:rPr>
        <w:t>Sehr geehrter Geschäftspartner,</w:t>
      </w:r>
    </w:p>
    <w:p w14:paraId="5A10FC47" w14:textId="77777777" w:rsidR="00E15C38" w:rsidRPr="00ED03FC" w:rsidRDefault="00E15C38" w:rsidP="00E15C38">
      <w:pPr>
        <w:jc w:val="both"/>
        <w:rPr>
          <w:rFonts w:ascii="Tahoma" w:hAnsi="Tahoma" w:cs="Tahoma"/>
          <w:szCs w:val="24"/>
        </w:rPr>
      </w:pPr>
    </w:p>
    <w:p w14:paraId="58AB0A01" w14:textId="77777777" w:rsidR="0066408F" w:rsidRDefault="0066408F" w:rsidP="00E15C38">
      <w:pPr>
        <w:jc w:val="both"/>
        <w:rPr>
          <w:rFonts w:ascii="Tahoma" w:hAnsi="Tahoma" w:cs="Tahoma"/>
          <w:szCs w:val="24"/>
        </w:rPr>
      </w:pPr>
    </w:p>
    <w:p w14:paraId="34ABBCE1" w14:textId="77777777" w:rsidR="00DA709C" w:rsidRDefault="000317C1" w:rsidP="00E15C3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wir möchten Sie über Änderungen bei der Bearbeitung von Reklamationen, Rückgaben und Beschwerden informieren.</w:t>
      </w:r>
    </w:p>
    <w:p w14:paraId="3B79C886" w14:textId="77777777" w:rsidR="00DA709C" w:rsidRDefault="00DA709C" w:rsidP="00E15C38">
      <w:pPr>
        <w:jc w:val="both"/>
        <w:rPr>
          <w:rFonts w:ascii="Tahoma" w:hAnsi="Tahoma" w:cs="Tahoma"/>
          <w:szCs w:val="24"/>
        </w:rPr>
      </w:pPr>
    </w:p>
    <w:p w14:paraId="4A0E8CC7" w14:textId="77777777" w:rsidR="00DA709C" w:rsidRDefault="00DA709C" w:rsidP="00E15C38">
      <w:pPr>
        <w:jc w:val="both"/>
        <w:rPr>
          <w:rFonts w:ascii="Tahoma" w:hAnsi="Tahoma" w:cs="Tahoma"/>
          <w:szCs w:val="24"/>
        </w:rPr>
      </w:pPr>
    </w:p>
    <w:p w14:paraId="2B3B8ECD" w14:textId="77777777" w:rsidR="005113E3" w:rsidRDefault="000317C1" w:rsidP="00E15C3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Im Fall von unberechtigten Reklamationen werden dem Kunden, der eine solche Reklamation eingereicht hat, die im Bearbeitungsverfahren anfallende</w:t>
      </w:r>
      <w:r>
        <w:rPr>
          <w:rFonts w:ascii="Tahoma" w:hAnsi="Tahoma" w:cs="Tahoma"/>
          <w:szCs w:val="24"/>
          <w:lang w:val="de-DE"/>
        </w:rPr>
        <w:t>n Kosten in Rechnung gestellt.</w:t>
      </w:r>
    </w:p>
    <w:p w14:paraId="26E22684" w14:textId="77777777" w:rsidR="005113E3" w:rsidRDefault="005113E3" w:rsidP="00E15C38">
      <w:pPr>
        <w:jc w:val="both"/>
        <w:rPr>
          <w:rFonts w:ascii="Tahoma" w:hAnsi="Tahoma" w:cs="Tahoma"/>
          <w:szCs w:val="24"/>
        </w:rPr>
      </w:pPr>
    </w:p>
    <w:p w14:paraId="4CEC59D6" w14:textId="77777777" w:rsidR="00DA709C" w:rsidRDefault="000317C1" w:rsidP="00E15C3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Zu den Kosten von unberechtigten Reklamationen gehören vor allem, jedoch nicht ausschließlich:</w:t>
      </w:r>
    </w:p>
    <w:p w14:paraId="223F5650" w14:textId="77777777" w:rsidR="00DA709C" w:rsidRDefault="000317C1" w:rsidP="00DA709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die tatsächlichen Transportkosten</w:t>
      </w:r>
    </w:p>
    <w:p w14:paraId="72DF004B" w14:textId="77777777" w:rsidR="00DA709C" w:rsidRDefault="000317C1" w:rsidP="00DA709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der tatsächlich aufgewendete und verbuchte Zeitaufwand</w:t>
      </w:r>
    </w:p>
    <w:p w14:paraId="701B3727" w14:textId="77777777" w:rsidR="00DA709C" w:rsidRDefault="000317C1" w:rsidP="00DA709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Material nach Preisliste</w:t>
      </w:r>
    </w:p>
    <w:p w14:paraId="5F1FC163" w14:textId="77777777" w:rsidR="00DA709C" w:rsidRDefault="000317C1" w:rsidP="00DA709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ein Pauschalbet</w:t>
      </w:r>
      <w:r>
        <w:rPr>
          <w:rFonts w:ascii="Tahoma" w:hAnsi="Tahoma" w:cs="Tahoma"/>
          <w:szCs w:val="24"/>
          <w:lang w:val="de-DE"/>
        </w:rPr>
        <w:t>rag in Höhe von 100 Euro zur Deckung von Bearbeitungskosten</w:t>
      </w:r>
    </w:p>
    <w:p w14:paraId="604AD44C" w14:textId="77777777" w:rsidR="005113E3" w:rsidRDefault="005113E3" w:rsidP="005113E3">
      <w:pPr>
        <w:jc w:val="both"/>
        <w:rPr>
          <w:rFonts w:ascii="Tahoma" w:hAnsi="Tahoma" w:cs="Tahoma"/>
          <w:szCs w:val="24"/>
        </w:rPr>
      </w:pPr>
    </w:p>
    <w:p w14:paraId="31BF3F94" w14:textId="77777777" w:rsidR="005113E3" w:rsidRPr="00AB2478" w:rsidRDefault="000317C1" w:rsidP="00AB247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Das gesamte Verfahren der Bearbeitung von Reklamationen ist ERP-gestützt. Das System ermöglicht einen genauen Überblick über die Aktivitäten, die während des Bearbeitungsverfahrens der einzelnen Reklamation entstehen (Stundenaufwand und eventueller Materia</w:t>
      </w:r>
      <w:r>
        <w:rPr>
          <w:rFonts w:ascii="Tahoma" w:hAnsi="Tahoma" w:cs="Tahoma"/>
          <w:szCs w:val="24"/>
          <w:lang w:val="de-DE"/>
        </w:rPr>
        <w:t>laufwand, sonstige entstandene Kosten, usw.).</w:t>
      </w:r>
    </w:p>
    <w:p w14:paraId="10F6CDAF" w14:textId="77777777" w:rsidR="00DA709C" w:rsidRDefault="00DA709C" w:rsidP="00DA709C">
      <w:pPr>
        <w:jc w:val="both"/>
        <w:rPr>
          <w:rFonts w:ascii="Tahoma" w:hAnsi="Tahoma" w:cs="Tahoma"/>
          <w:szCs w:val="24"/>
        </w:rPr>
      </w:pPr>
    </w:p>
    <w:p w14:paraId="673D7FE6" w14:textId="77777777" w:rsidR="00BB3D8C" w:rsidRDefault="000317C1" w:rsidP="00DA709C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Zu den unberechtigten Reklamationen gehören vor allem, jedoch nicht ausschließlich:</w:t>
      </w:r>
    </w:p>
    <w:p w14:paraId="3D6085C7" w14:textId="77777777" w:rsidR="00BB3D8C" w:rsidRDefault="000317C1" w:rsidP="00BB3D8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Schäden am Produkt (Abdeckung, Gehäuse, Bürsten, Wellen, Pakete, usw.)</w:t>
      </w:r>
    </w:p>
    <w:p w14:paraId="3AF8FA5C" w14:textId="77777777" w:rsidR="00BB3D8C" w:rsidRDefault="000317C1" w:rsidP="00BB3D8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Rückgaben außerhalb der Garantiefrist</w:t>
      </w:r>
    </w:p>
    <w:p w14:paraId="7CA977CE" w14:textId="77777777" w:rsidR="00BB3D8C" w:rsidRDefault="000317C1" w:rsidP="00BB3D8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unsachgemäße Verwendung von Produkten entgegen der Bedienungsanleitung</w:t>
      </w:r>
    </w:p>
    <w:p w14:paraId="0C66189E" w14:textId="77777777" w:rsidR="00BB3D8C" w:rsidRDefault="00BB3D8C" w:rsidP="00BB3D8C">
      <w:pPr>
        <w:jc w:val="both"/>
        <w:rPr>
          <w:rFonts w:ascii="Tahoma" w:hAnsi="Tahoma" w:cs="Tahoma"/>
          <w:szCs w:val="24"/>
        </w:rPr>
      </w:pPr>
    </w:p>
    <w:p w14:paraId="43CB25C3" w14:textId="77777777" w:rsidR="00BB3D8C" w:rsidRDefault="00BB3D8C" w:rsidP="00BB3D8C">
      <w:pPr>
        <w:jc w:val="both"/>
        <w:rPr>
          <w:rFonts w:ascii="Tahoma" w:hAnsi="Tahoma" w:cs="Tahoma"/>
          <w:szCs w:val="24"/>
        </w:rPr>
      </w:pPr>
    </w:p>
    <w:p w14:paraId="637484CD" w14:textId="77777777" w:rsidR="00DA709C" w:rsidRDefault="000317C1" w:rsidP="00DA709C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Im Fall von Sammelrückgaben, wenn der Kunde eine größere Stückanzahl zurückschickt und wir einen Teil der Haftung für die entstandenen Mängel übe</w:t>
      </w:r>
      <w:r>
        <w:rPr>
          <w:rFonts w:ascii="Tahoma" w:hAnsi="Tahoma" w:cs="Tahoma"/>
          <w:szCs w:val="24"/>
          <w:lang w:val="de-DE"/>
        </w:rPr>
        <w:t>rnehmen, also bei teilweise berechtigten Reklamationen, werden die Transportkosten, der Zeit- und Bearbeitungsaufwand verhältnismäßig zum Anteil der unberechtigt reklamierten Stückanzahl berechnet, während die Materialkosten und die Kosten für die unberech</w:t>
      </w:r>
      <w:r>
        <w:rPr>
          <w:rFonts w:ascii="Tahoma" w:hAnsi="Tahoma" w:cs="Tahoma"/>
          <w:szCs w:val="24"/>
          <w:lang w:val="de-DE"/>
        </w:rPr>
        <w:t>tigten Reklamationen nach dem tatsächlichen Wert gemäß der aktuell geltenden Preisliste berechnet werden.</w:t>
      </w:r>
    </w:p>
    <w:p w14:paraId="081799F2" w14:textId="77777777" w:rsidR="00DA709C" w:rsidRDefault="00DA709C" w:rsidP="00DA709C">
      <w:pPr>
        <w:jc w:val="both"/>
        <w:rPr>
          <w:rFonts w:ascii="Tahoma" w:hAnsi="Tahoma" w:cs="Tahoma"/>
          <w:szCs w:val="24"/>
        </w:rPr>
      </w:pPr>
    </w:p>
    <w:p w14:paraId="0C799ADB" w14:textId="77777777" w:rsidR="00690AB1" w:rsidRDefault="000317C1" w:rsidP="00C646C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lastRenderedPageBreak/>
        <w:t>Für weitere Informationen über die Art der Kostenrückerstattung wenden Sie sich bitte an Ihre Partner in unserem Vertrieb.</w:t>
      </w:r>
    </w:p>
    <w:p w14:paraId="3036710B" w14:textId="77777777" w:rsidR="00C646CE" w:rsidRDefault="00C646CE" w:rsidP="00C646CE">
      <w:pPr>
        <w:jc w:val="both"/>
        <w:rPr>
          <w:rFonts w:ascii="Tahoma" w:hAnsi="Tahoma" w:cs="Tahoma"/>
          <w:szCs w:val="24"/>
        </w:rPr>
      </w:pPr>
    </w:p>
    <w:p w14:paraId="339B704A" w14:textId="77777777" w:rsidR="00C54655" w:rsidRDefault="00C54655" w:rsidP="00C646CE">
      <w:pPr>
        <w:jc w:val="both"/>
        <w:rPr>
          <w:rFonts w:ascii="Tahoma" w:hAnsi="Tahoma" w:cs="Tahoma"/>
          <w:szCs w:val="24"/>
        </w:rPr>
      </w:pPr>
    </w:p>
    <w:p w14:paraId="6D2F90AF" w14:textId="77777777" w:rsidR="00C646CE" w:rsidRDefault="000317C1" w:rsidP="00C646C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Mit freundlichen Grüßen</w:t>
      </w:r>
    </w:p>
    <w:p w14:paraId="54CE868E" w14:textId="77777777" w:rsidR="004C505B" w:rsidRDefault="000317C1" w:rsidP="00C646C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Miro Šmid, Direktor Qualität</w:t>
      </w:r>
    </w:p>
    <w:p w14:paraId="120CCE87" w14:textId="77777777" w:rsidR="00E36845" w:rsidRDefault="00E36845" w:rsidP="00C646CE">
      <w:pPr>
        <w:jc w:val="both"/>
        <w:rPr>
          <w:rFonts w:ascii="Tahoma" w:hAnsi="Tahoma" w:cs="Tahoma"/>
          <w:szCs w:val="24"/>
        </w:rPr>
      </w:pPr>
    </w:p>
    <w:p w14:paraId="105BDBD3" w14:textId="77777777" w:rsidR="00E36845" w:rsidRDefault="000317C1" w:rsidP="00C646C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de-DE"/>
        </w:rPr>
        <w:t>Jaka Kavčič, Direktor Vertrieb</w:t>
      </w:r>
    </w:p>
    <w:p w14:paraId="2F0CEBC5" w14:textId="77777777" w:rsidR="00E36845" w:rsidRPr="00FB6350" w:rsidRDefault="00E36845" w:rsidP="00AB247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14:paraId="1DBDAE4C" w14:textId="77777777" w:rsidR="0066408F" w:rsidRPr="00FB6350" w:rsidRDefault="0066408F" w:rsidP="00C646CE">
      <w:pPr>
        <w:jc w:val="both"/>
        <w:rPr>
          <w:rFonts w:ascii="Tahoma" w:hAnsi="Tahoma" w:cs="Tahoma"/>
          <w:szCs w:val="24"/>
        </w:rPr>
      </w:pPr>
    </w:p>
    <w:p w14:paraId="10D46943" w14:textId="77777777" w:rsidR="0066408F" w:rsidRPr="00FB6350" w:rsidRDefault="0066408F" w:rsidP="00C646CE">
      <w:pPr>
        <w:jc w:val="both"/>
        <w:rPr>
          <w:sz w:val="16"/>
          <w:szCs w:val="16"/>
        </w:rPr>
      </w:pPr>
    </w:p>
    <w:sectPr w:rsidR="0066408F" w:rsidRPr="00FB6350" w:rsidSect="00C16913">
      <w:headerReference w:type="default" r:id="rId8"/>
      <w:headerReference w:type="first" r:id="rId9"/>
      <w:footerReference w:type="first" r:id="rId10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BF45" w14:textId="77777777" w:rsidR="00000000" w:rsidRDefault="000317C1">
      <w:r>
        <w:separator/>
      </w:r>
    </w:p>
  </w:endnote>
  <w:endnote w:type="continuationSeparator" w:id="0">
    <w:p w14:paraId="7D70AF2F" w14:textId="77777777" w:rsidR="00000000" w:rsidRDefault="0003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F7D6" w14:textId="77777777" w:rsidR="001C6B43" w:rsidRPr="0034704C" w:rsidRDefault="000317C1" w:rsidP="001C6B43">
    <w:pPr>
      <w:pStyle w:val="Noga"/>
      <w:jc w:val="center"/>
      <w:rPr>
        <w:sz w:val="12"/>
        <w:szCs w:val="12"/>
      </w:rPr>
    </w:pPr>
    <w:r>
      <w:rPr>
        <w:sz w:val="12"/>
        <w:szCs w:val="12"/>
        <w:lang w:val="de-DE"/>
      </w:rPr>
      <w:t xml:space="preserve">Eintragsnummer: 10437100 – Kreisgericht Nova Gorica  </w:t>
    </w:r>
    <w:r>
      <w:rPr>
        <w:color w:val="C0C0C0"/>
        <w:sz w:val="12"/>
        <w:szCs w:val="12"/>
        <w:lang w:val="de-DE"/>
      </w:rPr>
      <w:t>•</w:t>
    </w:r>
    <w:r>
      <w:rPr>
        <w:sz w:val="12"/>
        <w:szCs w:val="12"/>
        <w:lang w:val="de-DE"/>
      </w:rPr>
      <w:t xml:space="preserve">  Stammkapital: 8.207.501,00 EUR  </w:t>
    </w:r>
    <w:r>
      <w:rPr>
        <w:color w:val="C0C0C0"/>
        <w:sz w:val="12"/>
        <w:szCs w:val="12"/>
        <w:lang w:val="de-DE"/>
      </w:rPr>
      <w:t>•</w:t>
    </w:r>
    <w:r>
      <w:rPr>
        <w:sz w:val="12"/>
        <w:szCs w:val="12"/>
        <w:lang w:val="de-DE"/>
      </w:rPr>
      <w:t xml:space="preserve"> USt.-IdNr.: SI16460600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E60A" w14:textId="77777777" w:rsidR="00000000" w:rsidRDefault="000317C1">
      <w:r>
        <w:separator/>
      </w:r>
    </w:p>
  </w:footnote>
  <w:footnote w:type="continuationSeparator" w:id="0">
    <w:p w14:paraId="6FC3B944" w14:textId="77777777" w:rsidR="00000000" w:rsidRDefault="0003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328B" w14:textId="77777777" w:rsidR="00C646CE" w:rsidRPr="008F0A82" w:rsidRDefault="000317C1" w:rsidP="00C646CE">
    <w:pPr>
      <w:pStyle w:val="Glava"/>
      <w:jc w:val="right"/>
    </w:pPr>
    <w:r>
      <w:rPr>
        <w:noProof/>
        <w:lang w:val="de-DE"/>
      </w:rPr>
      <w:drawing>
        <wp:inline distT="0" distB="0" distL="0" distR="0" wp14:anchorId="0979E227" wp14:editId="23E59862">
          <wp:extent cx="1419225" cy="1847850"/>
          <wp:effectExtent l="0" t="0" r="0" b="0"/>
          <wp:docPr id="1" name="Slika 1" descr="Domel d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400361" name="Picture 1" descr="Domel d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3C814" w14:textId="77777777" w:rsidR="001C6B43" w:rsidRPr="00945ED4" w:rsidRDefault="001C6B43" w:rsidP="001C6B43">
    <w:pPr>
      <w:pStyle w:val="Glava"/>
      <w:ind w:left="-1417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2420" w14:textId="77777777" w:rsidR="001C6B43" w:rsidRDefault="000317C1">
    <w:pPr>
      <w:pStyle w:val="Glava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3A13B381" wp14:editId="20DA35C8">
          <wp:simplePos x="0" y="0"/>
          <wp:positionH relativeFrom="page">
            <wp:posOffset>756285</wp:posOffset>
          </wp:positionH>
          <wp:positionV relativeFrom="page">
            <wp:posOffset>396240</wp:posOffset>
          </wp:positionV>
          <wp:extent cx="6435725" cy="979805"/>
          <wp:effectExtent l="0" t="0" r="0" b="0"/>
          <wp:wrapNone/>
          <wp:docPr id="2" name="Slika 2" descr="Kol dopis Sikom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058024" name="Picture 2" descr="Kol dopis Sikom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3572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B3F2F"/>
    <w:multiLevelType w:val="hybridMultilevel"/>
    <w:tmpl w:val="7F44B7F4"/>
    <w:lvl w:ilvl="0" w:tplc="2BBE8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25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CE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CB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C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8A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8A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4A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2A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F2CA7"/>
    <w:multiLevelType w:val="hybridMultilevel"/>
    <w:tmpl w:val="644AC82C"/>
    <w:lvl w:ilvl="0" w:tplc="898AF4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8F820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6A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89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62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87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4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03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67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0A"/>
    <w:rsid w:val="00023D2A"/>
    <w:rsid w:val="0002515D"/>
    <w:rsid w:val="000317C1"/>
    <w:rsid w:val="0005514D"/>
    <w:rsid w:val="000755FC"/>
    <w:rsid w:val="0010734D"/>
    <w:rsid w:val="0011573B"/>
    <w:rsid w:val="00163DB9"/>
    <w:rsid w:val="001B2D56"/>
    <w:rsid w:val="001C6B43"/>
    <w:rsid w:val="002B20BB"/>
    <w:rsid w:val="002C157E"/>
    <w:rsid w:val="00326C21"/>
    <w:rsid w:val="0034704C"/>
    <w:rsid w:val="00352F48"/>
    <w:rsid w:val="00360E6E"/>
    <w:rsid w:val="00380DC9"/>
    <w:rsid w:val="00385FAB"/>
    <w:rsid w:val="003B22A7"/>
    <w:rsid w:val="00463B5D"/>
    <w:rsid w:val="004C18F7"/>
    <w:rsid w:val="004C320B"/>
    <w:rsid w:val="004C505B"/>
    <w:rsid w:val="004F0A0A"/>
    <w:rsid w:val="005113E3"/>
    <w:rsid w:val="0055766A"/>
    <w:rsid w:val="0057192A"/>
    <w:rsid w:val="005773FA"/>
    <w:rsid w:val="005F6A1D"/>
    <w:rsid w:val="00611F10"/>
    <w:rsid w:val="006227ED"/>
    <w:rsid w:val="006327E1"/>
    <w:rsid w:val="0066408F"/>
    <w:rsid w:val="00676CD3"/>
    <w:rsid w:val="00690AB1"/>
    <w:rsid w:val="006A2355"/>
    <w:rsid w:val="006B72C9"/>
    <w:rsid w:val="0075081E"/>
    <w:rsid w:val="00790E61"/>
    <w:rsid w:val="007D0736"/>
    <w:rsid w:val="007F24ED"/>
    <w:rsid w:val="00804D3D"/>
    <w:rsid w:val="00820467"/>
    <w:rsid w:val="0084090D"/>
    <w:rsid w:val="00883965"/>
    <w:rsid w:val="008C671F"/>
    <w:rsid w:val="008F0A82"/>
    <w:rsid w:val="009130E1"/>
    <w:rsid w:val="00945ECD"/>
    <w:rsid w:val="00945ED4"/>
    <w:rsid w:val="00947C12"/>
    <w:rsid w:val="00995337"/>
    <w:rsid w:val="009B0273"/>
    <w:rsid w:val="009E1248"/>
    <w:rsid w:val="009F384F"/>
    <w:rsid w:val="00A27C54"/>
    <w:rsid w:val="00A539C0"/>
    <w:rsid w:val="00A54FF8"/>
    <w:rsid w:val="00AB2478"/>
    <w:rsid w:val="00B27961"/>
    <w:rsid w:val="00B605FE"/>
    <w:rsid w:val="00B83D06"/>
    <w:rsid w:val="00B96C97"/>
    <w:rsid w:val="00BB3D8C"/>
    <w:rsid w:val="00BE605A"/>
    <w:rsid w:val="00C16913"/>
    <w:rsid w:val="00C231B6"/>
    <w:rsid w:val="00C37221"/>
    <w:rsid w:val="00C50074"/>
    <w:rsid w:val="00C54655"/>
    <w:rsid w:val="00C613F4"/>
    <w:rsid w:val="00C646CE"/>
    <w:rsid w:val="00CF7DFB"/>
    <w:rsid w:val="00DA709C"/>
    <w:rsid w:val="00E15C38"/>
    <w:rsid w:val="00E36845"/>
    <w:rsid w:val="00E36D57"/>
    <w:rsid w:val="00E451C0"/>
    <w:rsid w:val="00E6237B"/>
    <w:rsid w:val="00E70224"/>
    <w:rsid w:val="00E77C89"/>
    <w:rsid w:val="00E82C84"/>
    <w:rsid w:val="00EC22E5"/>
    <w:rsid w:val="00EC637B"/>
    <w:rsid w:val="00ED03FC"/>
    <w:rsid w:val="00F72938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10518"/>
  <w15:chartTrackingRefBased/>
  <w15:docId w15:val="{A9132A51-8122-4AA0-90B5-16DD42E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center" w:pos="8108"/>
      </w:tabs>
      <w:jc w:val="both"/>
      <w:outlineLvl w:val="0"/>
    </w:pPr>
    <w:rPr>
      <w:rFonts w:ascii="Futura Lt BT" w:hAnsi="Futura Lt BT"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customStyle="1" w:styleId="Indirizzomittente1">
    <w:name w:val="Indirizzo mittente 1"/>
    <w:basedOn w:val="Navaden"/>
    <w:rsid w:val="00E15C38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spacing w:val="-2"/>
      <w:sz w:val="16"/>
      <w:lang w:val="it-IT" w:eastAsia="it-IT"/>
    </w:rPr>
  </w:style>
  <w:style w:type="table" w:customStyle="1" w:styleId="Tabela-mrea">
    <w:name w:val="Tabela - mreža"/>
    <w:basedOn w:val="Navadnatabela"/>
    <w:rsid w:val="00E1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113E3"/>
    <w:pPr>
      <w:ind w:left="720"/>
      <w:contextualSpacing/>
    </w:pPr>
  </w:style>
  <w:style w:type="paragraph" w:styleId="Revizija">
    <w:name w:val="Revision"/>
    <w:hidden/>
    <w:uiPriority w:val="99"/>
    <w:semiHidden/>
    <w:rsid w:val="003B22A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BF787A-29C1-430E-AC9B-9BD4FE16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Šmid</dc:creator>
  <cp:lastModifiedBy>Tina Oblak</cp:lastModifiedBy>
  <cp:revision>2</cp:revision>
  <cp:lastPrinted>2015-10-06T08:14:00Z</cp:lastPrinted>
  <dcterms:created xsi:type="dcterms:W3CDTF">2022-02-11T08:37:00Z</dcterms:created>
  <dcterms:modified xsi:type="dcterms:W3CDTF">2022-02-11T08:37:00Z</dcterms:modified>
</cp:coreProperties>
</file>